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7F" w:rsidRDefault="0099247F" w:rsidP="00185943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99247F">
        <w:rPr>
          <w:b/>
          <w:bCs/>
          <w:sz w:val="24"/>
          <w:szCs w:val="24"/>
        </w:rPr>
        <w:t xml:space="preserve">Raport </w:t>
      </w:r>
      <w:r w:rsidR="00F700C8" w:rsidRPr="0099247F">
        <w:rPr>
          <w:b/>
          <w:bCs/>
          <w:sz w:val="24"/>
          <w:szCs w:val="24"/>
        </w:rPr>
        <w:t xml:space="preserve">Rady Europy </w:t>
      </w:r>
      <w:proofErr w:type="spellStart"/>
      <w:r w:rsidR="00F700C8" w:rsidRPr="0099247F">
        <w:rPr>
          <w:b/>
          <w:bCs/>
          <w:sz w:val="24"/>
          <w:szCs w:val="24"/>
        </w:rPr>
        <w:t>ws</w:t>
      </w:r>
      <w:proofErr w:type="spellEnd"/>
      <w:r w:rsidR="00F700C8" w:rsidRPr="0099247F">
        <w:rPr>
          <w:b/>
          <w:bCs/>
          <w:sz w:val="24"/>
          <w:szCs w:val="24"/>
        </w:rPr>
        <w:t>. długoterminowej przyszłości</w:t>
      </w:r>
      <w:r w:rsidR="00A84EC2">
        <w:rPr>
          <w:b/>
          <w:bCs/>
          <w:sz w:val="24"/>
          <w:szCs w:val="24"/>
        </w:rPr>
        <w:br/>
      </w:r>
      <w:r w:rsidR="00F700C8" w:rsidRPr="0099247F">
        <w:rPr>
          <w:b/>
          <w:bCs/>
          <w:sz w:val="24"/>
          <w:szCs w:val="24"/>
        </w:rPr>
        <w:t>systemu Konwencji o ochronie praw człowieka i podstawowych wolności</w:t>
      </w:r>
      <w:r w:rsidRPr="0099247F">
        <w:rPr>
          <w:b/>
          <w:bCs/>
          <w:sz w:val="24"/>
          <w:szCs w:val="24"/>
        </w:rPr>
        <w:t xml:space="preserve"> </w:t>
      </w:r>
    </w:p>
    <w:p w:rsidR="00A84EC2" w:rsidRDefault="00A84EC2" w:rsidP="00185943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</w:t>
      </w:r>
      <w:r w:rsidRPr="0099247F">
        <w:rPr>
          <w:b/>
          <w:bCs/>
          <w:sz w:val="24"/>
          <w:szCs w:val="24"/>
        </w:rPr>
        <w:t xml:space="preserve">onkluzje dotyczące implementacji </w:t>
      </w:r>
      <w:r>
        <w:rPr>
          <w:b/>
          <w:bCs/>
          <w:sz w:val="24"/>
          <w:szCs w:val="24"/>
        </w:rPr>
        <w:t>Konwencji</w:t>
      </w:r>
      <w:r w:rsidR="00AC732E">
        <w:rPr>
          <w:b/>
          <w:bCs/>
          <w:sz w:val="24"/>
          <w:szCs w:val="24"/>
        </w:rPr>
        <w:t xml:space="preserve"> na poziomie krajowym</w:t>
      </w:r>
      <w:r>
        <w:rPr>
          <w:b/>
          <w:bCs/>
          <w:sz w:val="24"/>
          <w:szCs w:val="24"/>
        </w:rPr>
        <w:br/>
      </w:r>
    </w:p>
    <w:p w:rsidR="0099247F" w:rsidRPr="00037A55" w:rsidRDefault="0099247F" w:rsidP="00185943">
      <w:pPr>
        <w:spacing w:after="120" w:line="240" w:lineRule="auto"/>
        <w:jc w:val="both"/>
        <w:rPr>
          <w:bCs/>
          <w:i/>
          <w:sz w:val="20"/>
          <w:szCs w:val="24"/>
        </w:rPr>
      </w:pPr>
      <w:r w:rsidRPr="00037A55">
        <w:rPr>
          <w:bCs/>
          <w:i/>
          <w:sz w:val="20"/>
          <w:szCs w:val="24"/>
        </w:rPr>
        <w:t>Raport z dnia 3 lutego 2016 r. (sygn. CM(2015)176-add1final), przygotowany przez Komitet Zarządzający Praw Człowieka (CDDH) Rady Europy</w:t>
      </w:r>
    </w:p>
    <w:p w:rsidR="008B4964" w:rsidRPr="008B4964" w:rsidRDefault="008B4964" w:rsidP="00185943">
      <w:pPr>
        <w:spacing w:after="120" w:line="240" w:lineRule="auto"/>
        <w:jc w:val="both"/>
        <w:rPr>
          <w:sz w:val="24"/>
          <w:szCs w:val="24"/>
        </w:rPr>
      </w:pPr>
      <w:r w:rsidRPr="008B4964">
        <w:rPr>
          <w:sz w:val="24"/>
          <w:szCs w:val="24"/>
        </w:rPr>
        <w:t>195. CDDH [Komitet Zarządzający Praw Człowieka Rady Europy</w:t>
      </w:r>
      <w:r w:rsidR="00037A55">
        <w:rPr>
          <w:sz w:val="24"/>
          <w:szCs w:val="24"/>
        </w:rPr>
        <w:t>]</w:t>
      </w:r>
      <w:r w:rsidRPr="008B4964">
        <w:rPr>
          <w:sz w:val="24"/>
          <w:szCs w:val="24"/>
        </w:rPr>
        <w:t xml:space="preserve"> zbadał różne i rozbieżne wyzwania. Konsensus panował w odniesieniu do następujących wyzwań</w:t>
      </w:r>
      <w:r w:rsidR="00F700C8">
        <w:rPr>
          <w:sz w:val="24"/>
          <w:szCs w:val="24"/>
        </w:rPr>
        <w:t>:</w:t>
      </w:r>
    </w:p>
    <w:p w:rsidR="008B4964" w:rsidRPr="008B4964" w:rsidRDefault="008B4964" w:rsidP="00185943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Theme="minorHAnsi" w:hAnsiTheme="minorHAnsi"/>
        </w:rPr>
      </w:pPr>
      <w:r w:rsidRPr="008B4964">
        <w:rPr>
          <w:rFonts w:asciiTheme="minorHAnsi" w:hAnsiTheme="minorHAnsi"/>
          <w:b/>
        </w:rPr>
        <w:t>Nieadekwatna implementacja krajowa</w:t>
      </w:r>
      <w:r w:rsidRPr="008B4964">
        <w:rPr>
          <w:rFonts w:asciiTheme="minorHAnsi" w:hAnsiTheme="minorHAnsi"/>
        </w:rPr>
        <w:t xml:space="preserve"> Konwencji pozostaje wśród głównych wyzwań lub nawet stanowi największe wyzwanie stojące przed systemem Konwencji. Ujawnia dodatkowe i kluczowe wyzwanie: skuteczna krajowa implementacja może zakładać skuteczne włączenie i interakcję szerokiego </w:t>
      </w:r>
      <w:r w:rsidR="00F700C8">
        <w:rPr>
          <w:rFonts w:asciiTheme="minorHAnsi" w:hAnsiTheme="minorHAnsi"/>
        </w:rPr>
        <w:t>spektrum</w:t>
      </w:r>
      <w:r w:rsidRPr="008B4964">
        <w:rPr>
          <w:rFonts w:asciiTheme="minorHAnsi" w:hAnsiTheme="minorHAnsi"/>
        </w:rPr>
        <w:t xml:space="preserve"> podmiotów krajowych (członków rządu, parlamentarzystów oraz sądownictwa, a także krajowych struktur praw człowieka, społeczeństwa obywatelskiego oraz przedstawicieli zawodów prawniczych). Dodatkowym wyzwaniem, które wskazano, są także trudności praktyczne związane ze śledzeniem orzecznictwa </w:t>
      </w:r>
      <w:r w:rsidR="00037A55">
        <w:rPr>
          <w:rFonts w:asciiTheme="minorHAnsi" w:hAnsiTheme="minorHAnsi"/>
        </w:rPr>
        <w:t xml:space="preserve">Europejskiego </w:t>
      </w:r>
      <w:r w:rsidRPr="008B4964">
        <w:rPr>
          <w:rFonts w:asciiTheme="minorHAnsi" w:hAnsiTheme="minorHAnsi"/>
        </w:rPr>
        <w:t>Trybunału</w:t>
      </w:r>
      <w:r w:rsidR="00037A55">
        <w:rPr>
          <w:rFonts w:asciiTheme="minorHAnsi" w:hAnsiTheme="minorHAnsi"/>
        </w:rPr>
        <w:t xml:space="preserve"> Praw Człowieka</w:t>
      </w:r>
      <w:r w:rsidRPr="008B4964">
        <w:rPr>
          <w:rFonts w:asciiTheme="minorHAnsi" w:hAnsiTheme="minorHAnsi"/>
        </w:rPr>
        <w:t xml:space="preserve">. </w:t>
      </w:r>
    </w:p>
    <w:p w:rsidR="008B4964" w:rsidRPr="00F700C8" w:rsidRDefault="008B4964" w:rsidP="00185943">
      <w:pPr>
        <w:pStyle w:val="Akapitzlist"/>
        <w:spacing w:after="120"/>
        <w:contextualSpacing w:val="0"/>
        <w:jc w:val="both"/>
        <w:rPr>
          <w:rFonts w:asciiTheme="minorHAnsi" w:hAnsiTheme="minorHAnsi"/>
        </w:rPr>
      </w:pPr>
      <w:r w:rsidRPr="00F700C8">
        <w:rPr>
          <w:rFonts w:asciiTheme="minorHAnsi" w:hAnsiTheme="minorHAnsi"/>
        </w:rPr>
        <w:t>[…]</w:t>
      </w:r>
    </w:p>
    <w:p w:rsidR="003E628A" w:rsidRPr="00AE47EB" w:rsidRDefault="003E628A" w:rsidP="00185943">
      <w:pPr>
        <w:spacing w:after="120" w:line="240" w:lineRule="auto"/>
        <w:jc w:val="both"/>
        <w:rPr>
          <w:sz w:val="24"/>
          <w:szCs w:val="24"/>
        </w:rPr>
      </w:pPr>
      <w:r w:rsidRPr="00AE47EB">
        <w:rPr>
          <w:sz w:val="24"/>
          <w:szCs w:val="24"/>
        </w:rPr>
        <w:t xml:space="preserve">197. W odniesieniu do </w:t>
      </w:r>
      <w:r w:rsidRPr="00F700C8">
        <w:rPr>
          <w:b/>
          <w:sz w:val="24"/>
          <w:szCs w:val="24"/>
        </w:rPr>
        <w:t>krajowej implementacji Konwencji</w:t>
      </w:r>
      <w:r w:rsidRPr="00AE47EB">
        <w:rPr>
          <w:sz w:val="24"/>
          <w:szCs w:val="24"/>
        </w:rPr>
        <w:t xml:space="preserve">, CDDH zgadza się, że potrzebne jest </w:t>
      </w:r>
      <w:r w:rsidRPr="00F700C8">
        <w:rPr>
          <w:b/>
          <w:sz w:val="24"/>
          <w:szCs w:val="24"/>
        </w:rPr>
        <w:t>dalsze działanie</w:t>
      </w:r>
      <w:r w:rsidRPr="00AE47EB">
        <w:rPr>
          <w:sz w:val="24"/>
          <w:szCs w:val="24"/>
        </w:rPr>
        <w:t xml:space="preserve">, a wszystkie zalecane poniżej </w:t>
      </w:r>
      <w:r w:rsidR="00AE47EB">
        <w:rPr>
          <w:sz w:val="24"/>
          <w:szCs w:val="24"/>
        </w:rPr>
        <w:t>rozwiązania</w:t>
      </w:r>
      <w:r w:rsidRPr="00AE47EB">
        <w:rPr>
          <w:sz w:val="24"/>
          <w:szCs w:val="24"/>
        </w:rPr>
        <w:t xml:space="preserve"> mieszczą się </w:t>
      </w:r>
      <w:r w:rsidRPr="00F700C8">
        <w:rPr>
          <w:b/>
          <w:sz w:val="24"/>
          <w:szCs w:val="24"/>
        </w:rPr>
        <w:t>w ramach istniejących struktur</w:t>
      </w:r>
      <w:r w:rsidRPr="00AE47EB">
        <w:rPr>
          <w:sz w:val="24"/>
          <w:szCs w:val="24"/>
        </w:rPr>
        <w:t>:</w:t>
      </w:r>
    </w:p>
    <w:p w:rsidR="003E628A" w:rsidRPr="00AE47EB" w:rsidRDefault="00C95F6F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t>Zaprzeczając</w:t>
      </w:r>
      <w:r w:rsidR="003E628A" w:rsidRPr="00AE47EB">
        <w:rPr>
          <w:rFonts w:asciiTheme="minorHAnsi" w:hAnsiTheme="minorHAnsi"/>
        </w:rPr>
        <w:t xml:space="preserve">, by </w:t>
      </w:r>
      <w:r w:rsidR="0022595E" w:rsidRPr="00AE47EB">
        <w:rPr>
          <w:rFonts w:asciiTheme="minorHAnsi" w:hAnsiTheme="minorHAnsi"/>
        </w:rPr>
        <w:t xml:space="preserve">na podstawie Konwencji </w:t>
      </w:r>
      <w:r w:rsidR="003E628A" w:rsidRPr="00AE47EB">
        <w:rPr>
          <w:rFonts w:asciiTheme="minorHAnsi" w:hAnsiTheme="minorHAnsi"/>
        </w:rPr>
        <w:t xml:space="preserve">istniał </w:t>
      </w:r>
      <w:r w:rsidR="0022595E" w:rsidRPr="00AE47EB">
        <w:rPr>
          <w:rFonts w:asciiTheme="minorHAnsi" w:hAnsiTheme="minorHAnsi"/>
        </w:rPr>
        <w:t xml:space="preserve">po stronie Państw Stron </w:t>
      </w:r>
      <w:r w:rsidR="003E628A" w:rsidRPr="00AE47EB">
        <w:rPr>
          <w:rFonts w:asciiTheme="minorHAnsi" w:hAnsiTheme="minorHAnsi"/>
        </w:rPr>
        <w:t xml:space="preserve">obowiązek prawny przestrzegania ostatecznych wyroków Trybunału w sprawach, w których nie są one stronami, wydaje się, co odnotowuje CDDH, że istnieje możliwość lepszego uwzględniania zasad </w:t>
      </w:r>
      <w:r w:rsidR="00037A55" w:rsidRPr="00AE47EB">
        <w:rPr>
          <w:rFonts w:asciiTheme="minorHAnsi" w:hAnsiTheme="minorHAnsi"/>
        </w:rPr>
        <w:t>ogólnych</w:t>
      </w:r>
      <w:r w:rsidR="00037A55">
        <w:rPr>
          <w:rFonts w:asciiTheme="minorHAnsi" w:hAnsiTheme="minorHAnsi"/>
        </w:rPr>
        <w:t xml:space="preserve"> </w:t>
      </w:r>
      <w:r w:rsidR="00AA55B7">
        <w:rPr>
          <w:rFonts w:asciiTheme="minorHAnsi" w:hAnsiTheme="minorHAnsi"/>
        </w:rPr>
        <w:t xml:space="preserve">zawartych </w:t>
      </w:r>
      <w:r w:rsidR="003E628A" w:rsidRPr="00AE47EB">
        <w:rPr>
          <w:rFonts w:asciiTheme="minorHAnsi" w:hAnsiTheme="minorHAnsi"/>
        </w:rPr>
        <w:t>w wyrokach Trybunału w sprawach przeciwko innym Wysokim Układającym się Stronom, w ramach prewencyjnego przewidywania możliwych naruszeń. W tym celu, pozytywne skutki może przynieść zidentyfikowanie dobrych praktyk dotyczących</w:t>
      </w:r>
      <w:r w:rsidR="0022595E">
        <w:rPr>
          <w:rFonts w:asciiTheme="minorHAnsi" w:hAnsiTheme="minorHAnsi"/>
        </w:rPr>
        <w:t xml:space="preserve"> rodzaju</w:t>
      </w:r>
      <w:r w:rsidR="003E628A" w:rsidRPr="00AE47EB">
        <w:rPr>
          <w:rFonts w:asciiTheme="minorHAnsi" w:hAnsiTheme="minorHAnsi"/>
        </w:rPr>
        <w:t xml:space="preserve"> środków praktycznych, które mogłyby być przyjęte. </w:t>
      </w:r>
    </w:p>
    <w:p w:rsidR="00A304A4" w:rsidRPr="00AE47EB" w:rsidRDefault="00A304A4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t>CDDH uznaje, że szkolenie zawodowe oraz działania u</w:t>
      </w:r>
      <w:r w:rsidR="003E628A" w:rsidRPr="00AE47EB">
        <w:rPr>
          <w:rFonts w:asciiTheme="minorHAnsi" w:hAnsiTheme="minorHAnsi"/>
        </w:rPr>
        <w:t>świadamiające</w:t>
      </w:r>
      <w:r w:rsidRPr="00AE47EB">
        <w:rPr>
          <w:rFonts w:asciiTheme="minorHAnsi" w:hAnsiTheme="minorHAnsi"/>
        </w:rPr>
        <w:t xml:space="preserve"> na temat Konwencji oraz orzecznictwa Trybunału stanowią duży priorytet w celu wypełnienia luki w zakresie implementacji </w:t>
      </w:r>
      <w:r w:rsidR="0022595E">
        <w:rPr>
          <w:rFonts w:asciiTheme="minorHAnsi" w:hAnsiTheme="minorHAnsi"/>
        </w:rPr>
        <w:t>[</w:t>
      </w:r>
      <w:r w:rsidRPr="00AE47EB">
        <w:rPr>
          <w:rFonts w:asciiTheme="minorHAnsi" w:hAnsiTheme="minorHAnsi"/>
        </w:rPr>
        <w:t>standardów</w:t>
      </w:r>
      <w:r w:rsidR="0022595E">
        <w:rPr>
          <w:rFonts w:asciiTheme="minorHAnsi" w:hAnsiTheme="minorHAnsi"/>
        </w:rPr>
        <w:t>]</w:t>
      </w:r>
      <w:r w:rsidRPr="00AE47EB">
        <w:rPr>
          <w:rFonts w:asciiTheme="minorHAnsi" w:hAnsiTheme="minorHAnsi"/>
        </w:rPr>
        <w:t xml:space="preserve">. Uznając wysiłki już podejmowane przez </w:t>
      </w:r>
      <w:r w:rsidR="0022595E">
        <w:rPr>
          <w:rFonts w:asciiTheme="minorHAnsi" w:hAnsiTheme="minorHAnsi"/>
        </w:rPr>
        <w:t xml:space="preserve">wszystkie </w:t>
      </w:r>
      <w:r w:rsidRPr="00AE47EB">
        <w:rPr>
          <w:rFonts w:asciiTheme="minorHAnsi" w:hAnsiTheme="minorHAnsi"/>
        </w:rPr>
        <w:t xml:space="preserve">właściwe podmioty, </w:t>
      </w:r>
      <w:r w:rsidR="0022595E">
        <w:rPr>
          <w:rFonts w:asciiTheme="minorHAnsi" w:hAnsiTheme="minorHAnsi"/>
        </w:rPr>
        <w:t>[</w:t>
      </w:r>
      <w:r w:rsidRPr="00AE47EB">
        <w:rPr>
          <w:rFonts w:asciiTheme="minorHAnsi" w:hAnsiTheme="minorHAnsi"/>
        </w:rPr>
        <w:t>CDDH</w:t>
      </w:r>
      <w:r w:rsidR="0022595E">
        <w:rPr>
          <w:rFonts w:asciiTheme="minorHAnsi" w:hAnsiTheme="minorHAnsi"/>
        </w:rPr>
        <w:t>]</w:t>
      </w:r>
      <w:r w:rsidRPr="00AE47EB">
        <w:rPr>
          <w:rFonts w:asciiTheme="minorHAnsi" w:hAnsiTheme="minorHAnsi"/>
        </w:rPr>
        <w:t xml:space="preserve"> podkreśla konieczność:</w:t>
      </w:r>
    </w:p>
    <w:p w:rsidR="00A304A4" w:rsidRPr="00AE47EB" w:rsidRDefault="00A304A4" w:rsidP="00185943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t xml:space="preserve">zapewniania, w sposób usystematyzowany, bardziej ukierunkowanego i uwzględniającego specyfikę danego kraju szkolenia </w:t>
      </w:r>
      <w:r w:rsidR="00AA55B7">
        <w:rPr>
          <w:rFonts w:asciiTheme="minorHAnsi" w:hAnsiTheme="minorHAnsi"/>
        </w:rPr>
        <w:t xml:space="preserve">[przedstawicieli] </w:t>
      </w:r>
      <w:r w:rsidRPr="00AE47EB">
        <w:rPr>
          <w:rFonts w:asciiTheme="minorHAnsi" w:hAnsiTheme="minorHAnsi"/>
        </w:rPr>
        <w:t xml:space="preserve">właściwych </w:t>
      </w:r>
      <w:r w:rsidRPr="00AA7D80">
        <w:rPr>
          <w:rFonts w:asciiTheme="minorHAnsi" w:hAnsiTheme="minorHAnsi"/>
        </w:rPr>
        <w:t>zawodów prawniczych (np</w:t>
      </w:r>
      <w:r w:rsidRPr="00AE47EB">
        <w:rPr>
          <w:rFonts w:asciiTheme="minorHAnsi" w:hAnsiTheme="minorHAnsi"/>
        </w:rPr>
        <w:t>. funkcjonariuszy rządowych, sędziów, prokuratorów, prawników), odnoszącego się do problem</w:t>
      </w:r>
      <w:r w:rsidR="0022595E">
        <w:rPr>
          <w:rFonts w:asciiTheme="minorHAnsi" w:hAnsiTheme="minorHAnsi"/>
        </w:rPr>
        <w:t xml:space="preserve">ów stosowania Konwencji w każdej Wysokiej Układającej się </w:t>
      </w:r>
      <w:r w:rsidRPr="00AE47EB">
        <w:rPr>
          <w:rFonts w:asciiTheme="minorHAnsi" w:hAnsiTheme="minorHAnsi"/>
        </w:rPr>
        <w:t xml:space="preserve">Stronie, przy jak najpełniejszym wykorzystaniu </w:t>
      </w:r>
      <w:r w:rsidR="0022595E">
        <w:rPr>
          <w:rFonts w:asciiTheme="minorHAnsi" w:hAnsiTheme="minorHAnsi"/>
        </w:rPr>
        <w:t xml:space="preserve">potencjału </w:t>
      </w:r>
      <w:r w:rsidRPr="00AE47EB">
        <w:rPr>
          <w:rFonts w:asciiTheme="minorHAnsi" w:hAnsiTheme="minorHAnsi"/>
        </w:rPr>
        <w:t>Europejskiego Programu na rzecz Edukacji Praw Człowieka dla Prawników (Program HELP)</w:t>
      </w:r>
      <w:r w:rsidR="0022595E">
        <w:rPr>
          <w:rFonts w:asciiTheme="minorHAnsi" w:hAnsiTheme="minorHAnsi"/>
        </w:rPr>
        <w:t xml:space="preserve"> Rady Europy; oraz</w:t>
      </w:r>
    </w:p>
    <w:p w:rsidR="00A304A4" w:rsidRPr="00AE47EB" w:rsidRDefault="00A304A4" w:rsidP="00185943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asciiTheme="minorHAnsi" w:hAnsiTheme="minorHAnsi" w:cs="Arial"/>
        </w:rPr>
      </w:pPr>
      <w:r w:rsidRPr="00AE47EB">
        <w:rPr>
          <w:rFonts w:asciiTheme="minorHAnsi" w:hAnsiTheme="minorHAnsi" w:cs="Arial"/>
          <w:lang w:eastAsia="en-GB"/>
        </w:rPr>
        <w:t>zwiększenia wysiłków dotyczących tłumaczenia wiodących wyroków (ich fragmentów) oraz/lub zapewniania streszczeń tych wyroków w językach krajowych, szczególnie dla celó</w:t>
      </w:r>
      <w:r w:rsidR="0022595E">
        <w:rPr>
          <w:rFonts w:asciiTheme="minorHAnsi" w:hAnsiTheme="minorHAnsi" w:cs="Arial"/>
          <w:lang w:eastAsia="en-GB"/>
        </w:rPr>
        <w:t>w edukacyjnych i szkoleniowych.</w:t>
      </w:r>
    </w:p>
    <w:p w:rsidR="00A304A4" w:rsidRPr="00AE47EB" w:rsidRDefault="00C95F6F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lastRenderedPageBreak/>
        <w:t>N</w:t>
      </w:r>
      <w:r w:rsidR="00A304A4" w:rsidRPr="00AE47EB">
        <w:rPr>
          <w:rFonts w:asciiTheme="minorHAnsi" w:hAnsiTheme="minorHAnsi"/>
        </w:rPr>
        <w:t xml:space="preserve">ależy zachęcać do tworzenia, </w:t>
      </w:r>
      <w:r w:rsidRPr="00AE47EB">
        <w:rPr>
          <w:rFonts w:asciiTheme="minorHAnsi" w:hAnsiTheme="minorHAnsi"/>
        </w:rPr>
        <w:t>tam gdzie to właściwe</w:t>
      </w:r>
      <w:r w:rsidR="00A304A4" w:rsidRPr="00AE47EB">
        <w:rPr>
          <w:rFonts w:asciiTheme="minorHAnsi" w:hAnsiTheme="minorHAnsi"/>
        </w:rPr>
        <w:t xml:space="preserve">, punktów kontaktowych wyspecjalizowanych w sprawach dotyczących praw człowieka w ramach właściwych organów władzy wykonawczej, sądowej i ustawodawczej, szczególnie, jeśli nie istnieje system [wymagający znajomości praw człowieka i Konwencji] </w:t>
      </w:r>
      <w:r w:rsidRPr="00AE47EB">
        <w:rPr>
          <w:rFonts w:asciiTheme="minorHAnsi" w:hAnsiTheme="minorHAnsi"/>
        </w:rPr>
        <w:t xml:space="preserve">w odniesieniu do </w:t>
      </w:r>
      <w:r w:rsidR="00A304A4" w:rsidRPr="00AE47EB">
        <w:rPr>
          <w:rFonts w:asciiTheme="minorHAnsi" w:hAnsiTheme="minorHAnsi"/>
        </w:rPr>
        <w:t xml:space="preserve">wszystkich pracowników w ramach tych właściwych władz. Te punkty kontaktowe powinny </w:t>
      </w:r>
      <w:r w:rsidR="00AA55B7">
        <w:rPr>
          <w:rFonts w:asciiTheme="minorHAnsi" w:hAnsiTheme="minorHAnsi"/>
        </w:rPr>
        <w:t xml:space="preserve">służyć </w:t>
      </w:r>
      <w:r w:rsidR="00AA7D80">
        <w:rPr>
          <w:rFonts w:asciiTheme="minorHAnsi" w:hAnsiTheme="minorHAnsi"/>
        </w:rPr>
        <w:t>jako osoby powołane</w:t>
      </w:r>
      <w:r w:rsidR="00A304A4" w:rsidRPr="00AE47EB">
        <w:rPr>
          <w:rFonts w:asciiTheme="minorHAnsi" w:hAnsiTheme="minorHAnsi"/>
        </w:rPr>
        <w:t xml:space="preserve"> do udzielania porad w odniesieniu do spraw dotyczących Konwencji.  </w:t>
      </w:r>
    </w:p>
    <w:p w:rsidR="00A304A4" w:rsidRPr="00AE47EB" w:rsidRDefault="00A304A4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="Arial"/>
        </w:rPr>
      </w:pPr>
      <w:r w:rsidRPr="00AE47EB">
        <w:rPr>
          <w:rFonts w:asciiTheme="minorHAnsi" w:hAnsiTheme="minorHAnsi" w:cs="Arial"/>
        </w:rPr>
        <w:t xml:space="preserve">Wciąż istnieje potrzeba poprawy krajowych środków odwoławczych – czy to poprzez tworzenie nowych środków (w tym o charakterze prewencyjnym – sądowych lub innych), czy to poprzez interpretowanie istniejących środków krajowych oraz prawa procesowego zgodnie z obowiązkami wynikającymi z art. 13 Konwencji. Kwestia skutecznych środków odwoławczych powinna być w centrum wszelkich działań mających na celu wspieranie krajowej implementacji Konwencji, a także w pracach tematycznych właściwych komitetów Rady Europy, w szczególności tych, </w:t>
      </w:r>
      <w:r w:rsidR="00AA55B7">
        <w:rPr>
          <w:rFonts w:asciiTheme="minorHAnsi" w:hAnsiTheme="minorHAnsi" w:cs="Arial"/>
        </w:rPr>
        <w:t xml:space="preserve">w </w:t>
      </w:r>
      <w:r w:rsidRPr="00AE47EB">
        <w:rPr>
          <w:rFonts w:asciiTheme="minorHAnsi" w:hAnsiTheme="minorHAnsi" w:cs="Arial"/>
        </w:rPr>
        <w:t>któr</w:t>
      </w:r>
      <w:r w:rsidR="00AA55B7">
        <w:rPr>
          <w:rFonts w:asciiTheme="minorHAnsi" w:hAnsiTheme="minorHAnsi" w:cs="Arial"/>
        </w:rPr>
        <w:t xml:space="preserve">ych zasiadają </w:t>
      </w:r>
      <w:r w:rsidRPr="00AE47EB">
        <w:rPr>
          <w:rFonts w:asciiTheme="minorHAnsi" w:hAnsiTheme="minorHAnsi" w:cs="Arial"/>
        </w:rPr>
        <w:t>przedstawiciel</w:t>
      </w:r>
      <w:r w:rsidR="00AA55B7">
        <w:rPr>
          <w:rFonts w:asciiTheme="minorHAnsi" w:hAnsiTheme="minorHAnsi" w:cs="Arial"/>
        </w:rPr>
        <w:t>e</w:t>
      </w:r>
      <w:r w:rsidRPr="00AE47EB">
        <w:rPr>
          <w:rFonts w:asciiTheme="minorHAnsi" w:hAnsiTheme="minorHAnsi" w:cs="Arial"/>
        </w:rPr>
        <w:t xml:space="preserve"> krajowych wymiarów sprawiedliwości (sędzi</w:t>
      </w:r>
      <w:r w:rsidR="00185943">
        <w:rPr>
          <w:rFonts w:asciiTheme="minorHAnsi" w:hAnsiTheme="minorHAnsi" w:cs="Arial"/>
        </w:rPr>
        <w:t>owie, prokuratorzy</w:t>
      </w:r>
      <w:r w:rsidRPr="00AE47EB">
        <w:rPr>
          <w:rFonts w:asciiTheme="minorHAnsi" w:hAnsiTheme="minorHAnsi" w:cs="Arial"/>
        </w:rPr>
        <w:t>, itp.)</w:t>
      </w:r>
      <w:r w:rsidR="00C95F6F" w:rsidRPr="00AE47EB">
        <w:rPr>
          <w:rFonts w:asciiTheme="minorHAnsi" w:hAnsiTheme="minorHAnsi" w:cs="Arial"/>
        </w:rPr>
        <w:t>.</w:t>
      </w:r>
    </w:p>
    <w:p w:rsidR="00A304A4" w:rsidRPr="00AE47EB" w:rsidRDefault="00AE47EB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t xml:space="preserve">Rządy </w:t>
      </w:r>
      <w:r w:rsidR="00A304A4" w:rsidRPr="00AE47EB">
        <w:rPr>
          <w:rFonts w:asciiTheme="minorHAnsi" w:hAnsiTheme="minorHAnsi"/>
        </w:rPr>
        <w:t>powinny w pełni informować parlamenty na temat kwestii</w:t>
      </w:r>
      <w:r w:rsidR="00C95F6F" w:rsidRPr="00AE47EB">
        <w:rPr>
          <w:rFonts w:asciiTheme="minorHAnsi" w:hAnsiTheme="minorHAnsi"/>
        </w:rPr>
        <w:t xml:space="preserve"> dotyczących</w:t>
      </w:r>
      <w:r w:rsidR="00A304A4" w:rsidRPr="00AE47EB">
        <w:rPr>
          <w:rFonts w:asciiTheme="minorHAnsi" w:hAnsiTheme="minorHAnsi"/>
        </w:rPr>
        <w:t xml:space="preserve"> interpretacji oraz stosowania </w:t>
      </w:r>
      <w:r w:rsidR="00C95F6F" w:rsidRPr="00AE47EB">
        <w:rPr>
          <w:rFonts w:asciiTheme="minorHAnsi" w:hAnsiTheme="minorHAnsi"/>
        </w:rPr>
        <w:t xml:space="preserve">standardów </w:t>
      </w:r>
      <w:r w:rsidR="00A304A4" w:rsidRPr="00AE47EB">
        <w:rPr>
          <w:rFonts w:asciiTheme="minorHAnsi" w:hAnsiTheme="minorHAnsi"/>
        </w:rPr>
        <w:t>Konwencji, w tym na temat zgodności (projekt</w:t>
      </w:r>
      <w:r w:rsidR="0022595E">
        <w:rPr>
          <w:rFonts w:asciiTheme="minorHAnsi" w:hAnsiTheme="minorHAnsi"/>
        </w:rPr>
        <w:t>ów</w:t>
      </w:r>
      <w:r w:rsidR="00A304A4" w:rsidRPr="00AE47EB">
        <w:rPr>
          <w:rFonts w:asciiTheme="minorHAnsi" w:hAnsiTheme="minorHAnsi"/>
        </w:rPr>
        <w:t xml:space="preserve">) ustawodawstwa z Konwencją; </w:t>
      </w:r>
    </w:p>
    <w:p w:rsidR="00C95F6F" w:rsidRPr="00AE47EB" w:rsidRDefault="00AE47EB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t xml:space="preserve">Należy </w:t>
      </w:r>
      <w:r w:rsidR="00C95F6F" w:rsidRPr="00AE47EB">
        <w:rPr>
          <w:rFonts w:asciiTheme="minorHAnsi" w:hAnsiTheme="minorHAnsi"/>
        </w:rPr>
        <w:t xml:space="preserve">udostępnić wystarczającą wiedzę ekspercką na temat spraw </w:t>
      </w:r>
      <w:r w:rsidR="00185943">
        <w:rPr>
          <w:rFonts w:asciiTheme="minorHAnsi" w:hAnsiTheme="minorHAnsi"/>
        </w:rPr>
        <w:t xml:space="preserve">dotyczących </w:t>
      </w:r>
      <w:r w:rsidR="00C95F6F" w:rsidRPr="00AE47EB">
        <w:rPr>
          <w:rFonts w:asciiTheme="minorHAnsi" w:hAnsiTheme="minorHAnsi"/>
        </w:rPr>
        <w:t xml:space="preserve">Konwencji członkom parlamentu, tam gdzie to właściwe, poprzez tworzenie struktur parlamentarnych oceniających </w:t>
      </w:r>
      <w:r w:rsidR="00185943">
        <w:rPr>
          <w:rFonts w:asciiTheme="minorHAnsi" w:hAnsiTheme="minorHAnsi"/>
        </w:rPr>
        <w:t>[</w:t>
      </w:r>
      <w:r w:rsidR="00AA7D80">
        <w:rPr>
          <w:rFonts w:asciiTheme="minorHAnsi" w:hAnsiTheme="minorHAnsi"/>
        </w:rPr>
        <w:t>kwestie</w:t>
      </w:r>
      <w:r w:rsidR="00185943">
        <w:rPr>
          <w:rFonts w:asciiTheme="minorHAnsi" w:hAnsiTheme="minorHAnsi"/>
        </w:rPr>
        <w:t>]</w:t>
      </w:r>
      <w:r w:rsidR="00AA7D80">
        <w:rPr>
          <w:rFonts w:asciiTheme="minorHAnsi" w:hAnsiTheme="minorHAnsi"/>
        </w:rPr>
        <w:t xml:space="preserve"> </w:t>
      </w:r>
      <w:r w:rsidR="00C95F6F" w:rsidRPr="00AE47EB">
        <w:rPr>
          <w:rFonts w:asciiTheme="minorHAnsi" w:hAnsiTheme="minorHAnsi"/>
        </w:rPr>
        <w:t>praw człowieka oraz/lub poprzez wsparcie ze strony wyspecjalizowanego sekretariatu oraz/lub poprzez zapewnienie dostępu do bezstronnego doradztwa na temat prawa dotyczącego praw człowieka – jeśli to właściwe – we współpracy z Radą Europy</w:t>
      </w:r>
      <w:r w:rsidR="008B4964">
        <w:rPr>
          <w:rFonts w:asciiTheme="minorHAnsi" w:hAnsiTheme="minorHAnsi"/>
        </w:rPr>
        <w:t>.</w:t>
      </w:r>
    </w:p>
    <w:p w:rsidR="00A304A4" w:rsidRPr="00AE47EB" w:rsidRDefault="00C95F6F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t>I</w:t>
      </w:r>
      <w:r w:rsidR="00A304A4" w:rsidRPr="00AE47EB">
        <w:rPr>
          <w:rFonts w:asciiTheme="minorHAnsi" w:hAnsiTheme="minorHAnsi"/>
        </w:rPr>
        <w:t xml:space="preserve">stnieje potrzeba, by władze krajowe w sposób systematyczny sprawdzały zgodność z Konwencją projektów </w:t>
      </w:r>
      <w:r w:rsidRPr="00AE47EB">
        <w:rPr>
          <w:rFonts w:asciiTheme="minorHAnsi" w:hAnsiTheme="minorHAnsi"/>
        </w:rPr>
        <w:t>ustawodawstwa</w:t>
      </w:r>
      <w:r w:rsidR="00A304A4" w:rsidRPr="00AE47EB">
        <w:rPr>
          <w:rFonts w:asciiTheme="minorHAnsi" w:hAnsiTheme="minorHAnsi"/>
        </w:rPr>
        <w:t xml:space="preserve"> oraz praktyki administracyjnej (w tym wyrażonej w rozporządzeniach, zarządzeniach i okólnikach) na wczesnym etapie prac redakcyjnych, i rozważały, tam gdzie to właściwe, wykazanie w uzasadnieniu do projektu ustaw, dlaczego projekt jest uznawany za zgodny z postanowieniami dotyczącymi praw człowieka;</w:t>
      </w:r>
    </w:p>
    <w:p w:rsidR="00C95F6F" w:rsidRPr="00AE47EB" w:rsidRDefault="00C95F6F" w:rsidP="00185943">
      <w:pPr>
        <w:pStyle w:val="Akapitzlist"/>
        <w:numPr>
          <w:ilvl w:val="0"/>
          <w:numId w:val="5"/>
        </w:numPr>
        <w:spacing w:after="120"/>
        <w:ind w:hanging="436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t xml:space="preserve">CDDH podkreśla również znaczenie zwiększonego korzystania przez Państwa członkowskie z istniejących mechanizmów Rady Europy (m.in. Komisji Weneckiej), które dają możliwość oceny zgodności ustawodawstwa ze standardami Konwencji. </w:t>
      </w:r>
    </w:p>
    <w:p w:rsidR="00A304A4" w:rsidRPr="00AE47EB" w:rsidRDefault="00A304A4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AE47EB">
        <w:rPr>
          <w:rFonts w:asciiTheme="minorHAnsi" w:hAnsiTheme="minorHAnsi"/>
        </w:rPr>
        <w:t>CDDH przypomina istotną rolę, którą mogą odgrywać krajowe struktury praw człowieka oraz społeczeństwo obywatelskie w odniesieniu do implementacji Konwencji. P</w:t>
      </w:r>
      <w:r w:rsidR="008B4964">
        <w:rPr>
          <w:rFonts w:asciiTheme="minorHAnsi" w:hAnsiTheme="minorHAnsi"/>
        </w:rPr>
        <w:t>onawia</w:t>
      </w:r>
      <w:r w:rsidRPr="00AE47EB">
        <w:rPr>
          <w:rFonts w:asciiTheme="minorHAnsi" w:hAnsiTheme="minorHAnsi"/>
        </w:rPr>
        <w:t xml:space="preserve"> ponadto swoje wsparcie dla tworzenia niezależnych krajowych instytucji praw  człowieka i zachęca, by istniały odpowiednie warunki na poziomie krajowym do wypełniania ich </w:t>
      </w:r>
      <w:proofErr w:type="spellStart"/>
      <w:r w:rsidRPr="00AE47EB">
        <w:rPr>
          <w:rFonts w:asciiTheme="minorHAnsi" w:hAnsiTheme="minorHAnsi"/>
        </w:rPr>
        <w:t>prawnoczłowieczej</w:t>
      </w:r>
      <w:proofErr w:type="spellEnd"/>
      <w:r w:rsidRPr="00AE47EB">
        <w:rPr>
          <w:rFonts w:asciiTheme="minorHAnsi" w:hAnsiTheme="minorHAnsi"/>
        </w:rPr>
        <w:t xml:space="preserve"> misji.</w:t>
      </w:r>
    </w:p>
    <w:p w:rsidR="00C02207" w:rsidRDefault="00AE47EB" w:rsidP="0018594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/>
        </w:rPr>
      </w:pPr>
      <w:r w:rsidRPr="00C766E2">
        <w:rPr>
          <w:rFonts w:asciiTheme="minorHAnsi" w:hAnsiTheme="minorHAnsi"/>
        </w:rPr>
        <w:t>Rada Europy ma do odegrania bardziej aktywną rolę w ułatwianiu włączenia wszystkich</w:t>
      </w:r>
      <w:r w:rsidR="00185943">
        <w:rPr>
          <w:rFonts w:asciiTheme="minorHAnsi" w:hAnsiTheme="minorHAnsi"/>
        </w:rPr>
        <w:t xml:space="preserve"> właściwych podmiotów krajowych</w:t>
      </w:r>
      <w:r w:rsidRPr="00C766E2">
        <w:rPr>
          <w:rFonts w:asciiTheme="minorHAnsi" w:hAnsiTheme="minorHAnsi"/>
        </w:rPr>
        <w:t xml:space="preserve"> w zależności od natury problemu, który ma być rozwiązany. Może być potrzebne rozważenie przez Radę Europy bardziej skutecznej strategii w tym obszarze, w oparciu o najlepsze praktyki jej współpracy z Państwami członkowskimi</w:t>
      </w:r>
      <w:r w:rsidR="00AA55B7">
        <w:rPr>
          <w:rFonts w:asciiTheme="minorHAnsi" w:hAnsiTheme="minorHAnsi"/>
        </w:rPr>
        <w:t>.</w:t>
      </w:r>
    </w:p>
    <w:p w:rsidR="006A4FF3" w:rsidRDefault="006A4FF3" w:rsidP="006C2496">
      <w:pPr>
        <w:spacing w:after="60" w:line="240" w:lineRule="auto"/>
        <w:jc w:val="both"/>
        <w:rPr>
          <w:sz w:val="20"/>
          <w:szCs w:val="20"/>
        </w:rPr>
      </w:pPr>
    </w:p>
    <w:p w:rsidR="006A4FF3" w:rsidRDefault="000C61B9" w:rsidP="006C2496">
      <w:pPr>
        <w:spacing w:after="60" w:line="240" w:lineRule="auto"/>
        <w:jc w:val="both"/>
        <w:rPr>
          <w:sz w:val="20"/>
          <w:szCs w:val="20"/>
        </w:rPr>
      </w:pPr>
      <w:hyperlink r:id="rId9" w:history="1">
        <w:r w:rsidR="000707C7" w:rsidRPr="000C61B9">
          <w:rPr>
            <w:rStyle w:val="Hipercze"/>
            <w:sz w:val="20"/>
            <w:szCs w:val="20"/>
          </w:rPr>
          <w:t>link do raportu</w:t>
        </w:r>
      </w:hyperlink>
    </w:p>
    <w:p w:rsidR="006A4FF3" w:rsidRPr="006A4FF3" w:rsidRDefault="006A4FF3" w:rsidP="006C2496">
      <w:pPr>
        <w:spacing w:after="60" w:line="240" w:lineRule="auto"/>
        <w:jc w:val="both"/>
        <w:rPr>
          <w:b/>
          <w:i/>
          <w:sz w:val="20"/>
          <w:szCs w:val="20"/>
          <w:u w:val="single"/>
        </w:rPr>
      </w:pPr>
      <w:r w:rsidRPr="006A4FF3">
        <w:rPr>
          <w:b/>
          <w:i/>
          <w:sz w:val="20"/>
          <w:szCs w:val="20"/>
          <w:u w:val="single"/>
        </w:rPr>
        <w:lastRenderedPageBreak/>
        <w:t>Decyzje Komitetu Delegatów Ministrów Rady Europy</w:t>
      </w:r>
      <w:r>
        <w:rPr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sz w:val="20"/>
          <w:szCs w:val="20"/>
          <w:u w:val="single"/>
        </w:rPr>
        <w:t>ws</w:t>
      </w:r>
      <w:proofErr w:type="spellEnd"/>
      <w:r>
        <w:rPr>
          <w:b/>
          <w:i/>
          <w:sz w:val="20"/>
          <w:szCs w:val="20"/>
          <w:u w:val="single"/>
        </w:rPr>
        <w:t>. raportu</w:t>
      </w:r>
    </w:p>
    <w:p w:rsidR="006C2496" w:rsidRPr="006A4FF3" w:rsidRDefault="006C2496" w:rsidP="006C2496">
      <w:pPr>
        <w:spacing w:after="60" w:line="240" w:lineRule="auto"/>
        <w:jc w:val="both"/>
        <w:rPr>
          <w:rFonts w:eastAsia="Times New Roman" w:cs="Times New Roman"/>
          <w:i/>
          <w:color w:val="333333"/>
          <w:sz w:val="20"/>
          <w:szCs w:val="20"/>
          <w:lang w:eastAsia="pl-PL"/>
        </w:rPr>
      </w:pPr>
      <w:r w:rsidRPr="006A4FF3">
        <w:rPr>
          <w:i/>
          <w:sz w:val="20"/>
          <w:szCs w:val="20"/>
        </w:rPr>
        <w:t xml:space="preserve">W dniu 30 marca 2016 r. Komitet Delegatów Ministrów Rady Europy zachęcił Państwa członkowskie </w:t>
      </w:r>
      <w:r w:rsidR="006A4FF3">
        <w:rPr>
          <w:i/>
          <w:sz w:val="20"/>
          <w:szCs w:val="20"/>
        </w:rPr>
        <w:br/>
      </w:r>
      <w:r w:rsidRPr="006A4FF3">
        <w:rPr>
          <w:i/>
          <w:sz w:val="20"/>
          <w:szCs w:val="20"/>
        </w:rPr>
        <w:t xml:space="preserve">do implementacji środków zalecanych w konkluzjach </w:t>
      </w:r>
      <w:r w:rsidRPr="006A4FF3">
        <w:rPr>
          <w:rFonts w:eastAsia="Times New Roman" w:cs="Times New Roman"/>
          <w:i/>
          <w:color w:val="333333"/>
          <w:sz w:val="20"/>
          <w:szCs w:val="20"/>
          <w:lang w:eastAsia="pl-PL"/>
        </w:rPr>
        <w:t>§ 197 i) - ix) w świetle właściwych paragrafów raportu (§§ 37-64) w odniesieniu do:</w:t>
      </w:r>
    </w:p>
    <w:p w:rsidR="006C2496" w:rsidRPr="006A4FF3" w:rsidRDefault="006C2496" w:rsidP="006C2496">
      <w:pPr>
        <w:spacing w:after="60" w:line="240" w:lineRule="auto"/>
        <w:jc w:val="both"/>
        <w:rPr>
          <w:rFonts w:eastAsia="Times New Roman" w:cs="Times New Roman"/>
          <w:i/>
          <w:color w:val="333333"/>
          <w:sz w:val="20"/>
          <w:szCs w:val="20"/>
          <w:lang w:eastAsia="pl-PL"/>
        </w:rPr>
      </w:pPr>
      <w:r w:rsidRPr="006A4FF3">
        <w:rPr>
          <w:rFonts w:eastAsia="Times New Roman" w:cs="Times New Roman"/>
          <w:i/>
          <w:color w:val="333333"/>
          <w:sz w:val="20"/>
          <w:szCs w:val="20"/>
          <w:lang w:eastAsia="pl-PL"/>
        </w:rPr>
        <w:t>i. lepszego uwzględniania zasad ogólnych zawartych w wyrokach Trybunału w sprawach przeciwko innym Wysokim Układającym się Stronom, nawet jeśli nie są one wiążące prawnie,</w:t>
      </w:r>
    </w:p>
    <w:p w:rsidR="006C2496" w:rsidRPr="006A4FF3" w:rsidRDefault="006C2496" w:rsidP="006C2496">
      <w:pPr>
        <w:spacing w:after="60" w:line="240" w:lineRule="auto"/>
        <w:jc w:val="both"/>
        <w:rPr>
          <w:rFonts w:eastAsia="Times New Roman" w:cs="Times New Roman"/>
          <w:i/>
          <w:color w:val="333333"/>
          <w:sz w:val="20"/>
          <w:szCs w:val="20"/>
          <w:lang w:eastAsia="pl-PL"/>
        </w:rPr>
      </w:pPr>
      <w:r w:rsidRPr="006A4FF3">
        <w:rPr>
          <w:rFonts w:eastAsia="Times New Roman" w:cs="Times New Roman"/>
          <w:i/>
          <w:color w:val="333333"/>
          <w:sz w:val="20"/>
          <w:szCs w:val="20"/>
          <w:lang w:eastAsia="pl-PL"/>
        </w:rPr>
        <w:t>ii.  ulepszania lub tworzenia skutecznych krajowych środków odwoławczych,</w:t>
      </w:r>
    </w:p>
    <w:p w:rsidR="006C2496" w:rsidRPr="006A4FF3" w:rsidRDefault="006C2496" w:rsidP="006C2496">
      <w:pPr>
        <w:spacing w:after="60" w:line="240" w:lineRule="auto"/>
        <w:jc w:val="both"/>
        <w:rPr>
          <w:rFonts w:eastAsia="Times New Roman" w:cs="Times New Roman"/>
          <w:i/>
          <w:color w:val="333333"/>
          <w:sz w:val="20"/>
          <w:szCs w:val="20"/>
          <w:lang w:eastAsia="pl-PL"/>
        </w:rPr>
      </w:pPr>
      <w:r w:rsidRPr="006A4FF3">
        <w:rPr>
          <w:rFonts w:eastAsia="Times New Roman" w:cs="Times New Roman"/>
          <w:i/>
          <w:color w:val="333333"/>
          <w:sz w:val="20"/>
          <w:szCs w:val="20"/>
          <w:lang w:eastAsia="pl-PL"/>
        </w:rPr>
        <w:t>iii. weryfikowania zgodności projektów ustawodawstwa oraz praktyki administracyjnej z Konwencją,</w:t>
      </w:r>
    </w:p>
    <w:p w:rsidR="006C2496" w:rsidRPr="006A4FF3" w:rsidRDefault="006C2496" w:rsidP="006C2496">
      <w:pPr>
        <w:spacing w:after="60" w:line="240" w:lineRule="auto"/>
        <w:jc w:val="both"/>
        <w:rPr>
          <w:rFonts w:eastAsia="Times New Roman" w:cs="Times New Roman"/>
          <w:i/>
          <w:color w:val="333333"/>
          <w:sz w:val="20"/>
          <w:szCs w:val="20"/>
          <w:lang w:eastAsia="pl-PL"/>
        </w:rPr>
      </w:pPr>
      <w:r w:rsidRPr="006A4FF3">
        <w:rPr>
          <w:rFonts w:eastAsia="Times New Roman" w:cs="Times New Roman"/>
          <w:i/>
          <w:color w:val="333333"/>
          <w:sz w:val="20"/>
          <w:szCs w:val="20"/>
          <w:lang w:eastAsia="pl-PL"/>
        </w:rPr>
        <w:t xml:space="preserve">iv. działań uświadamiających oraz szkolenia dotyczącego Konwencji oraz wyroków i decyzji Trybunału, </w:t>
      </w:r>
      <w:r w:rsidR="000C3ED3">
        <w:rPr>
          <w:rFonts w:eastAsia="Times New Roman" w:cs="Times New Roman"/>
          <w:i/>
          <w:color w:val="333333"/>
          <w:sz w:val="20"/>
          <w:szCs w:val="20"/>
          <w:lang w:eastAsia="pl-PL"/>
        </w:rPr>
        <w:br/>
      </w:r>
      <w:r w:rsidRPr="006A4FF3">
        <w:rPr>
          <w:rFonts w:eastAsia="Times New Roman" w:cs="Times New Roman"/>
          <w:i/>
          <w:color w:val="333333"/>
          <w:sz w:val="20"/>
          <w:szCs w:val="20"/>
          <w:lang w:eastAsia="pl-PL"/>
        </w:rPr>
        <w:t>oraz tworzenia punktów kontaktowych ds. “praw człowieka”, tam gdzie to właściwe, w szczególności, jeśli system [wymagający znajomości praw człowieka i Konwencji od wszystkich pracowników] jest niewystarczający, oraz</w:t>
      </w:r>
    </w:p>
    <w:p w:rsidR="006C2496" w:rsidRPr="006A4FF3" w:rsidRDefault="006C2496" w:rsidP="006C2496">
      <w:pPr>
        <w:spacing w:after="60" w:line="240" w:lineRule="auto"/>
        <w:jc w:val="both"/>
        <w:rPr>
          <w:i/>
        </w:rPr>
      </w:pPr>
      <w:r w:rsidRPr="006A4FF3">
        <w:rPr>
          <w:rFonts w:eastAsia="Times New Roman" w:cs="Times New Roman"/>
          <w:i/>
          <w:color w:val="333333"/>
          <w:sz w:val="20"/>
          <w:szCs w:val="20"/>
          <w:lang w:eastAsia="pl-PL"/>
        </w:rPr>
        <w:t xml:space="preserve">v.  roli parlamentów krajowych, sądów krajowych, krajowych struktur praw </w:t>
      </w:r>
      <w:r w:rsidR="000C3ED3">
        <w:rPr>
          <w:rFonts w:eastAsia="Times New Roman" w:cs="Times New Roman"/>
          <w:i/>
          <w:color w:val="333333"/>
          <w:sz w:val="20"/>
          <w:szCs w:val="20"/>
          <w:lang w:eastAsia="pl-PL"/>
        </w:rPr>
        <w:t>c</w:t>
      </w:r>
      <w:r w:rsidRPr="006A4FF3">
        <w:rPr>
          <w:rFonts w:eastAsia="Times New Roman" w:cs="Times New Roman"/>
          <w:i/>
          <w:color w:val="333333"/>
          <w:sz w:val="20"/>
          <w:szCs w:val="20"/>
          <w:lang w:eastAsia="pl-PL"/>
        </w:rPr>
        <w:t xml:space="preserve">złowieka oraz społeczeństwa obywatelskiego w odniesieniu do implementacji Konwencji, i w tym kontekście udostępnienia wystarczającej wiedzy eksperckiej nt. spraw dotyczących Konwencji parlamentom krajowym oraz lepszego zapewnienia dostosowanego i ukierunkowanego szkolenia dla sądów krajowych.   </w:t>
      </w:r>
      <w:r w:rsidR="0079554E" w:rsidRPr="00492ED9">
        <w:rPr>
          <w:rFonts w:eastAsia="Times New Roman" w:cs="Times New Roman"/>
          <w:color w:val="333333"/>
          <w:sz w:val="20"/>
          <w:szCs w:val="20"/>
          <w:lang w:eastAsia="pl-PL"/>
        </w:rPr>
        <w:t>[…]</w:t>
      </w:r>
      <w:bookmarkStart w:id="0" w:name="_GoBack"/>
      <w:bookmarkEnd w:id="0"/>
    </w:p>
    <w:sectPr w:rsidR="006C2496" w:rsidRPr="006A4FF3" w:rsidSect="006A4FF3">
      <w:headerReference w:type="default" r:id="rId10"/>
      <w:headerReference w:type="first" r:id="rId11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D7" w:rsidRDefault="00B122D7" w:rsidP="0099247F">
      <w:pPr>
        <w:spacing w:after="0" w:line="240" w:lineRule="auto"/>
      </w:pPr>
      <w:r>
        <w:separator/>
      </w:r>
    </w:p>
  </w:endnote>
  <w:endnote w:type="continuationSeparator" w:id="0">
    <w:p w:rsidR="00B122D7" w:rsidRDefault="00B122D7" w:rsidP="0099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D7" w:rsidRDefault="00B122D7" w:rsidP="0099247F">
      <w:pPr>
        <w:spacing w:after="0" w:line="240" w:lineRule="auto"/>
      </w:pPr>
      <w:r>
        <w:separator/>
      </w:r>
    </w:p>
  </w:footnote>
  <w:footnote w:type="continuationSeparator" w:id="0">
    <w:p w:rsidR="00B122D7" w:rsidRDefault="00B122D7" w:rsidP="0099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7F" w:rsidRPr="0099247F" w:rsidRDefault="0099247F" w:rsidP="0099247F">
    <w:pPr>
      <w:pStyle w:val="Nagwek"/>
      <w:jc w:val="right"/>
      <w:rPr>
        <w:i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E2" w:rsidRDefault="00C766E2" w:rsidP="00C766E2">
    <w:pPr>
      <w:pStyle w:val="Nagwek"/>
      <w:jc w:val="right"/>
      <w:rPr>
        <w:i/>
        <w:u w:val="single"/>
      </w:rPr>
    </w:pPr>
    <w:r w:rsidRPr="0099247F">
      <w:rPr>
        <w:i/>
        <w:u w:val="single"/>
      </w:rPr>
      <w:t>Nieoficjalne tłumaczenie przygotowane przez Ministerstwo Spraw Zagranicznych</w:t>
    </w:r>
  </w:p>
  <w:p w:rsidR="00C766E2" w:rsidRDefault="00C766E2" w:rsidP="00C766E2">
    <w:pPr>
      <w:pStyle w:val="Nagwek"/>
      <w:jc w:val="right"/>
      <w:rPr>
        <w:i/>
        <w:u w:val="single"/>
      </w:rPr>
    </w:pPr>
  </w:p>
  <w:p w:rsidR="002B0202" w:rsidRDefault="002B0202" w:rsidP="00C766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CF4"/>
    <w:multiLevelType w:val="hybridMultilevel"/>
    <w:tmpl w:val="56B4CE0C"/>
    <w:lvl w:ilvl="0" w:tplc="96AA84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B0A"/>
    <w:multiLevelType w:val="hybridMultilevel"/>
    <w:tmpl w:val="E920234A"/>
    <w:lvl w:ilvl="0" w:tplc="96AA841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FAA"/>
    <w:multiLevelType w:val="hybridMultilevel"/>
    <w:tmpl w:val="E920234A"/>
    <w:lvl w:ilvl="0" w:tplc="96AA841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101A"/>
    <w:multiLevelType w:val="hybridMultilevel"/>
    <w:tmpl w:val="F7F64AC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2640"/>
    <w:multiLevelType w:val="hybridMultilevel"/>
    <w:tmpl w:val="14EAB1C8"/>
    <w:lvl w:ilvl="0" w:tplc="FA064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A4"/>
    <w:rsid w:val="00037A55"/>
    <w:rsid w:val="000707C7"/>
    <w:rsid w:val="0009032A"/>
    <w:rsid w:val="000C3ED3"/>
    <w:rsid w:val="000C61B9"/>
    <w:rsid w:val="00185943"/>
    <w:rsid w:val="0022595E"/>
    <w:rsid w:val="00240A87"/>
    <w:rsid w:val="002B0202"/>
    <w:rsid w:val="0035153F"/>
    <w:rsid w:val="003818F7"/>
    <w:rsid w:val="003E42B2"/>
    <w:rsid w:val="003E628A"/>
    <w:rsid w:val="00492ED9"/>
    <w:rsid w:val="004F4012"/>
    <w:rsid w:val="006A4FF3"/>
    <w:rsid w:val="006C2496"/>
    <w:rsid w:val="0079554E"/>
    <w:rsid w:val="007D4E90"/>
    <w:rsid w:val="008028E5"/>
    <w:rsid w:val="008B45ED"/>
    <w:rsid w:val="008B4964"/>
    <w:rsid w:val="0099247F"/>
    <w:rsid w:val="00A304A4"/>
    <w:rsid w:val="00A84EC2"/>
    <w:rsid w:val="00AA55B7"/>
    <w:rsid w:val="00AA7D80"/>
    <w:rsid w:val="00AC732E"/>
    <w:rsid w:val="00AE47EB"/>
    <w:rsid w:val="00B122D7"/>
    <w:rsid w:val="00B47911"/>
    <w:rsid w:val="00B9610A"/>
    <w:rsid w:val="00BA0A47"/>
    <w:rsid w:val="00BC1D12"/>
    <w:rsid w:val="00C02207"/>
    <w:rsid w:val="00C766E2"/>
    <w:rsid w:val="00C95F6F"/>
    <w:rsid w:val="00DA3D27"/>
    <w:rsid w:val="00E95AB0"/>
    <w:rsid w:val="00F700C8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04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30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4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7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7F"/>
  </w:style>
  <w:style w:type="paragraph" w:styleId="Stopka">
    <w:name w:val="footer"/>
    <w:basedOn w:val="Normalny"/>
    <w:link w:val="StopkaZnak"/>
    <w:uiPriority w:val="99"/>
    <w:unhideWhenUsed/>
    <w:rsid w:val="0099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A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A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04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30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4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7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47F"/>
  </w:style>
  <w:style w:type="paragraph" w:styleId="Stopka">
    <w:name w:val="footer"/>
    <w:basedOn w:val="Normalny"/>
    <w:link w:val="StopkaZnak"/>
    <w:uiPriority w:val="99"/>
    <w:unhideWhenUsed/>
    <w:rsid w:val="0099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4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A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A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sz.gov.pl/resource/1a6dec2e-51ce-4974-8b3f-e663f68bd442:JC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90A6-614D-4416-B2FF-B24148B7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Suchożebrska Eliza</dc:creator>
  <cp:lastModifiedBy>Suchożebrska Eliza</cp:lastModifiedBy>
  <cp:revision>15</cp:revision>
  <cp:lastPrinted>2016-09-26T05:54:00Z</cp:lastPrinted>
  <dcterms:created xsi:type="dcterms:W3CDTF">2016-09-28T07:59:00Z</dcterms:created>
  <dcterms:modified xsi:type="dcterms:W3CDTF">2016-09-29T08:55:00Z</dcterms:modified>
</cp:coreProperties>
</file>